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ffd36b76a45f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11316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SVETI MATEJ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2.898.559,70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3.117.687,37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2.856.247,93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3.332.208,96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214.521,59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22.169,18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22.169,18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12.095,47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226.617,06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rezultat je povećanja rashoda poslovanja temeljem  izmjena u proračunskom računovodstvu koje se odnose na ukidanje podskupine računa 193 Kontinuirani rashodi budućih razdoblja i njihov prijenos na razred 3 Rashodi poslovanja.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2.898.559,70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3.117.687,37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</w:tbl>
    <w:p>
      <w:pPr>
        <w:spacing w:before="0" w:after="0"/>
      </w:pPr>
    </w:p>
    <w:p>
      <w:r>
        <w:t xml:space="preserve">Prihodi poslovanja su u porastu u odnosu na 2024. godinu zbog povećanja rashoda u izvještajnom razdoblju koji se odnose na rast mase plaća za zaposlenike te povećanja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16.563,81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53,0</w:t>
            </w:r>
          </w:p>
        </w:tc>
      </w:tr>
    </w:tbl>
    <w:p>
      <w:pPr>
        <w:spacing w:before="0" w:after="0"/>
      </w:pPr>
    </w:p>
    <w:p>
      <w:r>
        <w:t xml:space="preserve">Prihodi su u padu radi manjeg broja nabavljenih udžbenika ua 2025-oj godini što je rezultat manjeg broja upisanih učenika i boljeg stanja rabljenih udžbenika te nije bilo potrebe za većim dokupom.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11.521,47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17.733,64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153,9</w:t>
            </w:r>
          </w:p>
        </w:tc>
      </w:tr>
    </w:tbl>
    <w:p>
      <w:pPr>
        <w:spacing w:before="0" w:after="0"/>
      </w:pPr>
    </w:p>
    <w:p>
      <w:r>
        <w:t xml:space="preserve">Prihodi su porasli zbog porasta broja izleta, natjecanja i ostalih aktivnosti koje sufinanciraju roditelji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11.521,47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17.733,64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153,9</w:t>
            </w:r>
          </w:p>
        </w:tc>
      </w:tr>
    </w:tbl>
    <w:p>
      <w:pPr>
        <w:spacing w:before="0" w:after="0"/>
      </w:pPr>
    </w:p>
    <w:p>
      <w:r>
        <w:t xml:space="preserve">Prihodi su se povećali radi većeg broja izleta, natjecanja i ostalih aktivnosti koje sufinanciraju roditelji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236.310,25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271.909,30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porasli su zbog porasta troškova poslovanja i plaća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236.310,25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271.909,30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Prihodi iz nadležnog proračuna su porasli zbog porasta materijalnih troškova poslovanja i plaća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2.856.247,93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3.332.208,96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Rashodi poslovanja povećani su zbog primjene novog Pravilnika o proračunskom računovodstvu i Računskom planu u dijelu koji se odnosi na ukidanje podskupine računa 193 - kontinuirani rashodi budućih razdoblja  i prijenosa na rashode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2.393.872,50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2.860.836,61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</w:tbl>
    <w:p>
      <w:pPr>
        <w:spacing w:before="0" w:after="0"/>
      </w:pPr>
    </w:p>
    <w:p>
      <w:r>
        <w:t xml:space="preserve">Rashodi za zaposlene su u porastu radi primjene novog zakonodavstva prema kojem se rashodi budućih razdoblja zatvaraju 01.01.2025. godine i prenose na rashode poslovanja u tekućoj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18,6</w:t>
            </w:r>
          </w:p>
        </w:tc>
      </w:tr>
    </w:tbl>
    <w:p>
      <w:pPr>
        <w:spacing w:before="0" w:after="0"/>
      </w:pPr>
    </w:p>
    <w:p>
      <w:r>
        <w:t xml:space="preserve">Tijekom 2025. godine nije bilo rashoda za zatezne kamate zbog okončanja isplata plaća po sudskim presudama.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Zateznih kamata nije bilo radi okončanja isplata po sudskim presudama.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54.417,81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47.540,89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87,4</w:t>
            </w:r>
          </w:p>
        </w:tc>
      </w:tr>
    </w:tbl>
    <w:p>
      <w:pPr>
        <w:spacing w:before="0" w:after="0"/>
      </w:pPr>
    </w:p>
    <w:p>
      <w:r>
        <w:t xml:space="preserve">Naknade građanima i kućanstvima u naravi manje su radi manje nabavke radnih udžbenika što je rezultat manjeg broja upisanih učenika u školsku godinu 2025/2026.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214.521,59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očekivan je zbog zakonskih izmjena u proračunskom računovodstvu za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22.169,18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54,6</w:t>
            </w:r>
          </w:p>
        </w:tc>
      </w:tr>
    </w:tbl>
    <w:p>
      <w:pPr>
        <w:spacing w:before="0" w:after="0"/>
      </w:pPr>
    </w:p>
    <w:p>
      <w:r>
        <w:t xml:space="preserve">Rashod se odnosi na nabavku udžbenika koji je manji nego u 2024. godini radi manjeg broja upisanih učenika i dobrog stanja rabljenih udžbenika te nije vršen dokup.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22.169,18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54,6</w:t>
            </w:r>
          </w:p>
        </w:tc>
      </w:tr>
    </w:tbl>
    <w:p>
      <w:pPr>
        <w:spacing w:before="0" w:after="0"/>
      </w:pPr>
    </w:p>
    <w:p>
      <w:r>
        <w:t xml:space="preserve">Rashodi su u padu radi manjeg broja nabavljenih udžbenika ua 2025-oj godini što je rezultat manjeg broja upisanih učenika i boljeg stanja rabljenih udžbenika te nije bilo potrebe za većim dokupom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22.169,18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54,6</w:t>
            </w:r>
          </w:p>
        </w:tc>
      </w:tr>
    </w:tbl>
    <w:p>
      <w:pPr>
        <w:spacing w:before="0" w:after="0"/>
      </w:pPr>
    </w:p>
    <w:p>
      <w:r>
        <w:t xml:space="preserve">Manjak prihoda od nefinancijske imovine ostvaren je  radi manjeg broja nabavljenih udžbenika ua 2025-oj godini što je rezultat manjeg broja upisanih učenika i boljeg stanja rabljenih udžbenika te nije bilo potrebe za većim dokupom.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226.617,06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rezultat je povećanja rashoda poslovanja temeljem  izmjena u proračunskom računovodstvu koje se odnose na ukidanje podskupine računa 193 Kontinuirani rashodi budućih razdoblja i njihov prijenos na razred 3 Rashodi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194.167,57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Podskupina 193 ukinuta je 01.01.2025. godine Pravilnikom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16.563,81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53,0</w:t>
            </w:r>
          </w:p>
        </w:tc>
      </w:tr>
    </w:tbl>
    <w:p>
      <w:pPr>
        <w:spacing w:before="0" w:after="0"/>
      </w:pPr>
    </w:p>
    <w:p>
      <w:r>
        <w:t xml:space="preserve">Prihod se odnosi na plaćanje udžbenika koji su u 2025-oj godini nabavljeni u smanjenom opsegu.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2.895.273,53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2.702.100,31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93,3</w:t>
            </w:r>
          </w:p>
        </w:tc>
      </w:tr>
    </w:tbl>
    <w:p>
      <w:pPr>
        <w:spacing w:before="0" w:after="0"/>
      </w:pPr>
    </w:p>
    <w:p>
      <w:r>
        <w:t xml:space="preserve">Ukupna imovina smanjena je zbog ukidanja podskupine 193 pa tako nisu evidentirani kontinuirani rashodi za 2025. godinu koji bi se inače odnosili na iznos plaće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5.640,89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promjene u načinu evidentiranja u okviru podskupine 239 Ostalih tekuće obveze i skupine 27 Obveze za predujmove, depozite, jamčevine, pologe i tuđe prihode, evidentirano je 100%-tno povećanje obveza na kraju 2025. godine na ovoj skupini.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10.704,97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-215.912,09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-2016,9</w:t>
            </w:r>
          </w:p>
        </w:tc>
      </w:tr>
    </w:tbl>
    <w:p>
      <w:pPr>
        <w:spacing w:before="0" w:after="0"/>
      </w:pPr>
    </w:p>
    <w:p>
      <w:r>
        <w:t xml:space="preserve">Rezultata poslovanja je negativan zbog  povećanja rashoda poslovanja temeljem  izmjena u proračunskom računovodstvu koje se odnose na ukidanje podskupine računa 193 Kontinuirani rashodi budućih razdoblja i njihov prijenos na razred 3 Rashodi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depozite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5.640,89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100%-tna razlika u odnosu na 2024. godinu nastala je radi evidentiranja obveza na novootvorene račune u okviru skupine 27.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b418816c644e27" /></Relationships>
</file>